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12AC" w:rsidRPr="00AB12AC" w:rsidP="00AB12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№02-2459/2202/2024</w:t>
      </w:r>
    </w:p>
    <w:p w:rsidR="00AB12AC" w:rsidRPr="00AB12AC" w:rsidP="00AB12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AB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86MS0053-01-2024-004226-27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AB12AC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№2-2459-2202/2024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«ЭкспертПерспектива» к Уколову Владимиру Николаевичу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C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AB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«ЭкспертПерспектива» к Уколову Владимиру Николаевичу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FE5292" w:rsidP="00AB1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 w:rsidR="00AB12AC">
        <w:rPr>
          <w:rFonts w:ascii="Times New Roman" w:hAnsi="Times New Roman" w:cs="Times New Roman"/>
          <w:sz w:val="28"/>
          <w:szCs w:val="28"/>
        </w:rPr>
        <w:t>Уколова Владимира Николаевича</w:t>
      </w:r>
      <w:r w:rsidR="0047074E">
        <w:rPr>
          <w:rFonts w:ascii="Times New Roman" w:hAnsi="Times New Roman" w:cs="Times New Roman"/>
          <w:sz w:val="28"/>
          <w:szCs w:val="28"/>
        </w:rPr>
        <w:t xml:space="preserve"> (</w:t>
      </w:r>
      <w:r w:rsidR="00AB12AC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47074E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AB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«ЭкспертПерспектива» (ОГРН 1227300006845) задолженность по договору займа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B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12 915 рублей, проценты за пользование займом в размере 19 372,50 рублей, расходы по уплате государственной пошлины в размере 1 168,63 рубля, всего взыскать 33 456 (тридцать три тысячи четыреста пятьдесят шесть) рублей 13 копеек.</w:t>
      </w:r>
    </w:p>
    <w:p w:rsidR="00486968" w:rsidRPr="00B01DB6" w:rsidP="004C3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течение трех дней со дня объявления резолютивной части решения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со дня вынесения определения суда об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одного месяца со дня вынесения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0046F"/>
    <w:rsid w:val="0047074E"/>
    <w:rsid w:val="00486968"/>
    <w:rsid w:val="004C39A7"/>
    <w:rsid w:val="00713412"/>
    <w:rsid w:val="00714DAA"/>
    <w:rsid w:val="00AB12AC"/>
    <w:rsid w:val="00AB6630"/>
    <w:rsid w:val="00B01DB6"/>
    <w:rsid w:val="00B96591"/>
    <w:rsid w:val="00C648E9"/>
    <w:rsid w:val="00C8116C"/>
    <w:rsid w:val="00E110BC"/>
    <w:rsid w:val="00E33770"/>
    <w:rsid w:val="00FE52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48F0-7E1A-422E-81E0-222710A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